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29C3" w14:textId="17664482" w:rsidR="005112DC" w:rsidRDefault="004C55AE" w:rsidP="00AE06C1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4C55AE">
        <w:rPr>
          <w:b/>
          <w:bCs/>
          <w:sz w:val="28"/>
          <w:szCs w:val="28"/>
        </w:rPr>
        <w:t xml:space="preserve">Note informative cu </w:t>
      </w:r>
      <w:proofErr w:type="spellStart"/>
      <w:r w:rsidRPr="004C55AE">
        <w:rPr>
          <w:b/>
          <w:bCs/>
          <w:sz w:val="28"/>
          <w:szCs w:val="28"/>
        </w:rPr>
        <w:t>privire</w:t>
      </w:r>
      <w:proofErr w:type="spellEnd"/>
      <w:r w:rsidRPr="004C55AE">
        <w:rPr>
          <w:b/>
          <w:bCs/>
          <w:sz w:val="28"/>
          <w:szCs w:val="28"/>
        </w:rPr>
        <w:t xml:space="preserve"> la </w:t>
      </w:r>
      <w:proofErr w:type="spellStart"/>
      <w:r w:rsidRPr="004C55AE">
        <w:rPr>
          <w:b/>
          <w:bCs/>
          <w:sz w:val="28"/>
          <w:szCs w:val="28"/>
        </w:rPr>
        <w:t>punctele</w:t>
      </w:r>
      <w:proofErr w:type="spellEnd"/>
      <w:r w:rsidRPr="004C55AE">
        <w:rPr>
          <w:b/>
          <w:bCs/>
          <w:sz w:val="28"/>
          <w:szCs w:val="28"/>
        </w:rPr>
        <w:t xml:space="preserve"> de pe </w:t>
      </w:r>
      <w:proofErr w:type="spellStart"/>
      <w:r w:rsidRPr="004C55AE">
        <w:rPr>
          <w:b/>
          <w:bCs/>
          <w:sz w:val="28"/>
          <w:szCs w:val="28"/>
        </w:rPr>
        <w:t>ordinea</w:t>
      </w:r>
      <w:proofErr w:type="spellEnd"/>
      <w:r w:rsidRPr="004C55AE">
        <w:rPr>
          <w:b/>
          <w:bCs/>
          <w:sz w:val="28"/>
          <w:szCs w:val="28"/>
        </w:rPr>
        <w:t xml:space="preserve"> de zi a </w:t>
      </w:r>
      <w:proofErr w:type="spellStart"/>
      <w:r w:rsidRPr="004C55AE">
        <w:rPr>
          <w:b/>
          <w:bCs/>
          <w:sz w:val="28"/>
          <w:szCs w:val="28"/>
        </w:rPr>
        <w:t>Adunării</w:t>
      </w:r>
      <w:proofErr w:type="spellEnd"/>
      <w:r w:rsidRPr="004C55AE">
        <w:rPr>
          <w:b/>
          <w:bCs/>
          <w:sz w:val="28"/>
          <w:szCs w:val="28"/>
        </w:rPr>
        <w:t xml:space="preserve"> </w:t>
      </w:r>
      <w:proofErr w:type="spellStart"/>
      <w:r w:rsidRPr="004C55AE">
        <w:rPr>
          <w:b/>
          <w:bCs/>
          <w:sz w:val="28"/>
          <w:szCs w:val="28"/>
        </w:rPr>
        <w:t>Generale</w:t>
      </w:r>
      <w:proofErr w:type="spellEnd"/>
      <w:r w:rsidRPr="004C55AE">
        <w:rPr>
          <w:b/>
          <w:bCs/>
          <w:sz w:val="28"/>
          <w:szCs w:val="28"/>
        </w:rPr>
        <w:t xml:space="preserve"> </w:t>
      </w:r>
      <w:proofErr w:type="spellStart"/>
      <w:r w:rsidRPr="004C55AE">
        <w:rPr>
          <w:b/>
          <w:bCs/>
          <w:sz w:val="28"/>
          <w:szCs w:val="28"/>
        </w:rPr>
        <w:t>Ordinare</w:t>
      </w:r>
      <w:proofErr w:type="spellEnd"/>
      <w:r w:rsidRPr="004C55AE">
        <w:rPr>
          <w:b/>
          <w:bCs/>
          <w:sz w:val="28"/>
          <w:szCs w:val="28"/>
        </w:rPr>
        <w:t xml:space="preserve"> a </w:t>
      </w:r>
      <w:proofErr w:type="spellStart"/>
      <w:r w:rsidRPr="004C55AE">
        <w:rPr>
          <w:b/>
          <w:bCs/>
          <w:sz w:val="28"/>
          <w:szCs w:val="28"/>
        </w:rPr>
        <w:t>Acționarilor</w:t>
      </w:r>
      <w:proofErr w:type="spellEnd"/>
      <w:r w:rsidRPr="004C55AE">
        <w:rPr>
          <w:b/>
          <w:bCs/>
          <w:sz w:val="28"/>
          <w:szCs w:val="28"/>
        </w:rPr>
        <w:t xml:space="preserve"> </w:t>
      </w:r>
      <w:proofErr w:type="spellStart"/>
      <w:r w:rsidRPr="004C55AE">
        <w:rPr>
          <w:b/>
          <w:bCs/>
          <w:sz w:val="28"/>
          <w:szCs w:val="28"/>
        </w:rPr>
        <w:t>programată</w:t>
      </w:r>
      <w:proofErr w:type="spellEnd"/>
      <w:r w:rsidRPr="004C55AE">
        <w:rPr>
          <w:b/>
          <w:bCs/>
          <w:sz w:val="28"/>
          <w:szCs w:val="28"/>
        </w:rPr>
        <w:t xml:space="preserve"> </w:t>
      </w:r>
      <w:proofErr w:type="spellStart"/>
      <w:r w:rsidRPr="004C55AE">
        <w:rPr>
          <w:b/>
          <w:bCs/>
          <w:sz w:val="28"/>
          <w:szCs w:val="28"/>
        </w:rPr>
        <w:t>pentru</w:t>
      </w:r>
      <w:proofErr w:type="spellEnd"/>
      <w:r w:rsidRPr="004C55AE">
        <w:rPr>
          <w:b/>
          <w:bCs/>
          <w:sz w:val="28"/>
          <w:szCs w:val="28"/>
        </w:rPr>
        <w:t xml:space="preserve"> </w:t>
      </w:r>
      <w:r w:rsidR="005112DC" w:rsidRPr="004C55AE">
        <w:rPr>
          <w:b/>
          <w:bCs/>
          <w:sz w:val="28"/>
          <w:szCs w:val="28"/>
        </w:rPr>
        <w:t xml:space="preserve">7 </w:t>
      </w:r>
      <w:proofErr w:type="spellStart"/>
      <w:r w:rsidR="005112DC" w:rsidRPr="004C55AE">
        <w:rPr>
          <w:b/>
          <w:bCs/>
          <w:sz w:val="28"/>
          <w:szCs w:val="28"/>
        </w:rPr>
        <w:t>martie</w:t>
      </w:r>
      <w:proofErr w:type="spellEnd"/>
      <w:r w:rsidR="005112DC" w:rsidRPr="004C55AE">
        <w:rPr>
          <w:b/>
          <w:bCs/>
          <w:sz w:val="28"/>
          <w:szCs w:val="28"/>
        </w:rPr>
        <w:t xml:space="preserve"> 2022</w:t>
      </w:r>
    </w:p>
    <w:p w14:paraId="495EFFA0" w14:textId="5C817324" w:rsidR="00572BE3" w:rsidRDefault="00572BE3" w:rsidP="00865718">
      <w:pPr>
        <w:spacing w:after="120" w:line="240" w:lineRule="auto"/>
        <w:ind w:firstLine="720"/>
        <w:jc w:val="both"/>
        <w:rPr>
          <w:b/>
          <w:bCs/>
          <w:sz w:val="28"/>
          <w:szCs w:val="28"/>
        </w:rPr>
      </w:pPr>
    </w:p>
    <w:p w14:paraId="5134B2B0" w14:textId="6DB7D8AF" w:rsidR="007219BC" w:rsidRPr="00865718" w:rsidRDefault="00572BE3" w:rsidP="00865718">
      <w:pPr>
        <w:pStyle w:val="ListParagraph"/>
        <w:numPr>
          <w:ilvl w:val="0"/>
          <w:numId w:val="4"/>
        </w:numPr>
        <w:spacing w:after="120" w:line="240" w:lineRule="auto"/>
        <w:ind w:firstLine="0"/>
        <w:jc w:val="both"/>
        <w:rPr>
          <w:b/>
          <w:bCs/>
          <w:sz w:val="24"/>
          <w:szCs w:val="24"/>
          <w:lang w:val="ro-RO"/>
        </w:rPr>
      </w:pPr>
      <w:r w:rsidRPr="00865718">
        <w:rPr>
          <w:b/>
          <w:bCs/>
          <w:sz w:val="24"/>
          <w:szCs w:val="24"/>
          <w:lang w:val="ro-RO"/>
        </w:rPr>
        <w:t>Alegerea auditorului financiar BDO AUDITORS &amp; ACCOUNTANTS SRL</w:t>
      </w:r>
    </w:p>
    <w:p w14:paraId="17A3FB3A" w14:textId="0FB9C451" w:rsidR="00572BE3" w:rsidRDefault="00572BE3" w:rsidP="00865718">
      <w:pPr>
        <w:spacing w:after="120" w:line="240" w:lineRule="auto"/>
        <w:ind w:firstLine="720"/>
        <w:jc w:val="both"/>
      </w:pPr>
      <w:r w:rsidRPr="007219BC">
        <w:rPr>
          <w:lang w:val="ro-RO"/>
        </w:rPr>
        <w:t xml:space="preserve">Consiliul de Administrație, în efortul constant de a eficientiza cheltuielile cu expertiza financiară, propune alegerea auditorului financiar mai sus menționat, a cărui servicii sunt superioare din punctul de vedere a raportului cost/beneficiu, </w:t>
      </w:r>
      <w:proofErr w:type="spellStart"/>
      <w:r>
        <w:t>propune</w:t>
      </w:r>
      <w:proofErr w:type="spellEnd"/>
      <w:r>
        <w:t xml:space="preserve"> </w:t>
      </w:r>
      <w:proofErr w:type="spellStart"/>
      <w:r>
        <w:t>acționarilor</w:t>
      </w:r>
      <w:proofErr w:type="spellEnd"/>
      <w:r>
        <w:t xml:space="preserve">,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aprobare</w:t>
      </w:r>
      <w:proofErr w:type="spellEnd"/>
      <w:r>
        <w:t xml:space="preserve">: </w:t>
      </w:r>
    </w:p>
    <w:p w14:paraId="07EA4434" w14:textId="77777777" w:rsidR="00572BE3" w:rsidRDefault="00572BE3" w:rsidP="00865718">
      <w:pPr>
        <w:spacing w:after="120" w:line="240" w:lineRule="auto"/>
        <w:ind w:left="360" w:firstLine="720"/>
        <w:jc w:val="both"/>
        <w:rPr>
          <w:lang w:val="ro-RO"/>
        </w:rPr>
      </w:pPr>
      <w:r>
        <w:t xml:space="preserve">- </w:t>
      </w:r>
      <w:r w:rsidRPr="006A097B">
        <w:rPr>
          <w:lang w:val="ro-RO"/>
        </w:rPr>
        <w:t>Alegerea auditorului financiar BDO AUDITORS &amp; ACCOUNTANTS SRL,</w:t>
      </w:r>
      <w:r w:rsidRPr="006A097B">
        <w:rPr>
          <w:snapToGrid w:val="0"/>
          <w:lang w:val="ro-RO" w:eastAsia="de-DE"/>
        </w:rPr>
        <w:t xml:space="preserve"> </w:t>
      </w:r>
      <w:r w:rsidRPr="006A097B">
        <w:rPr>
          <w:rFonts w:ascii="Calibri" w:hAnsi="Calibri" w:cs="Calibri"/>
          <w:snapToGrid w:val="0"/>
          <w:lang w:val="ro-RO" w:eastAsia="de-DE"/>
        </w:rPr>
        <w:t>o societate română, având sediul în România, Cluj-Napoca, str. Mihai Eminescu, nr.3, et.1,</w:t>
      </w:r>
      <w:r w:rsidRPr="006A097B">
        <w:rPr>
          <w:lang w:val="ro-RO"/>
        </w:rPr>
        <w:t xml:space="preserve"> </w:t>
      </w:r>
      <w:r w:rsidRPr="006A097B">
        <w:rPr>
          <w:rFonts w:cstheme="minorHAnsi"/>
          <w:snapToGrid w:val="0"/>
          <w:lang w:val="ro-RO" w:eastAsia="de-DE"/>
        </w:rPr>
        <w:t>autorizație nr. 1003/26.11.2010, emisă de Camera Auditorilor Financiari din România, înregistrată la Registrul Comerțului cu nr.J12/2609/2002,</w:t>
      </w:r>
      <w:r w:rsidRPr="006A097B">
        <w:rPr>
          <w:snapToGrid w:val="0"/>
          <w:lang w:val="ro-RO" w:eastAsia="de-DE"/>
        </w:rPr>
        <w:t xml:space="preserve"> </w:t>
      </w:r>
      <w:r w:rsidRPr="006A097B">
        <w:rPr>
          <w:rFonts w:cstheme="minorHAnsi"/>
          <w:snapToGrid w:val="0"/>
          <w:lang w:val="ro-RO" w:eastAsia="de-DE"/>
        </w:rPr>
        <w:t>având cod unic de identificare CUI 15106663,</w:t>
      </w:r>
      <w:r w:rsidRPr="006A097B">
        <w:rPr>
          <w:snapToGrid w:val="0"/>
          <w:lang w:val="ro-RO" w:eastAsia="de-DE"/>
        </w:rPr>
        <w:t xml:space="preserve"> </w:t>
      </w:r>
      <w:r w:rsidRPr="006A097B">
        <w:rPr>
          <w:rFonts w:cstheme="minorHAnsi"/>
          <w:snapToGrid w:val="0"/>
          <w:lang w:val="ro-RO" w:eastAsia="de-DE"/>
        </w:rPr>
        <w:t>reprezentată în relațiile cu Societatea de Dl. Apostol Dan Gabriel,</w:t>
      </w:r>
      <w:r w:rsidRPr="006A097B">
        <w:rPr>
          <w:rFonts w:cstheme="minorHAnsi"/>
          <w:b/>
          <w:bCs/>
          <w:snapToGrid w:val="0"/>
          <w:lang w:val="ro-RO" w:eastAsia="de-DE"/>
        </w:rPr>
        <w:t xml:space="preserve"> </w:t>
      </w:r>
      <w:r w:rsidRPr="006A097B">
        <w:rPr>
          <w:lang w:val="ro-RO"/>
        </w:rPr>
        <w:t>pentru un mandat de trei ani, incepand cu data de 08.03.2022 şi mandatarea Consiliului de Administraţie pentru semnarea contractului cu auditorul financia</w:t>
      </w:r>
      <w:r>
        <w:rPr>
          <w:lang w:val="ro-RO"/>
        </w:rPr>
        <w:t xml:space="preserve">r. </w:t>
      </w:r>
    </w:p>
    <w:p w14:paraId="3F3AC8EA" w14:textId="4D3A9039" w:rsidR="007219BC" w:rsidRPr="00865718" w:rsidRDefault="007219BC" w:rsidP="00865718">
      <w:pPr>
        <w:pStyle w:val="ListParagraph"/>
        <w:numPr>
          <w:ilvl w:val="0"/>
          <w:numId w:val="4"/>
        </w:numPr>
        <w:spacing w:after="120" w:line="240" w:lineRule="auto"/>
        <w:ind w:firstLine="0"/>
        <w:jc w:val="both"/>
        <w:rPr>
          <w:b/>
          <w:bCs/>
          <w:sz w:val="24"/>
          <w:szCs w:val="24"/>
          <w:lang w:val="ro-RO"/>
        </w:rPr>
      </w:pPr>
      <w:r w:rsidRPr="00865718">
        <w:rPr>
          <w:b/>
          <w:bCs/>
          <w:sz w:val="24"/>
          <w:szCs w:val="24"/>
          <w:lang w:val="ro-RO"/>
        </w:rPr>
        <w:t>Aprobarea datei de 23.03.2022 ca dată de înregistrare (ex-date 22.03.2022)</w:t>
      </w:r>
    </w:p>
    <w:p w14:paraId="0E0F9CEC" w14:textId="5678C9D3" w:rsidR="006A19DA" w:rsidRDefault="006A19DA" w:rsidP="00865718">
      <w:pPr>
        <w:spacing w:after="120" w:line="240" w:lineRule="auto"/>
        <w:ind w:firstLine="72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 86 </w:t>
      </w:r>
      <w:proofErr w:type="spellStart"/>
      <w:r>
        <w:t>alineatul</w:t>
      </w:r>
      <w:proofErr w:type="spellEnd"/>
      <w:r>
        <w:t xml:space="preserve"> (1) al </w:t>
      </w:r>
      <w:proofErr w:type="spellStart"/>
      <w:r>
        <w:t>Legii</w:t>
      </w:r>
      <w:proofErr w:type="spellEnd"/>
      <w:r>
        <w:t xml:space="preserve"> nr. 24/2017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emitenţii</w:t>
      </w:r>
      <w:proofErr w:type="spellEnd"/>
      <w:r>
        <w:t xml:space="preserve"> de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operaţiuni</w:t>
      </w:r>
      <w:proofErr w:type="spellEnd"/>
      <w:r>
        <w:t xml:space="preserve"> de </w:t>
      </w:r>
      <w:proofErr w:type="spellStart"/>
      <w:r>
        <w:t>piaţă</w:t>
      </w:r>
      <w:proofErr w:type="spellEnd"/>
      <w:r>
        <w:t xml:space="preserve">, Data de </w:t>
      </w:r>
      <w:proofErr w:type="spellStart"/>
      <w:r>
        <w:t>Înregistrare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data </w:t>
      </w:r>
      <w:proofErr w:type="spellStart"/>
      <w:r>
        <w:t>calendaristică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serveşte</w:t>
      </w:r>
      <w:proofErr w:type="spellEnd"/>
      <w:r>
        <w:t xml:space="preserve"> la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acţionarilor</w:t>
      </w:r>
      <w:proofErr w:type="spellEnd"/>
      <w:r>
        <w:t xml:space="preserve"> care </w:t>
      </w:r>
      <w:proofErr w:type="spellStart"/>
      <w:r>
        <w:t>urmează</w:t>
      </w:r>
      <w:proofErr w:type="spellEnd"/>
      <w:r>
        <w:t xml:space="preserve"> a beneficia de </w:t>
      </w:r>
      <w:proofErr w:type="spellStart"/>
      <w:r>
        <w:t>dividende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drepturi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cărora</w:t>
      </w:r>
      <w:proofErr w:type="spellEnd"/>
      <w:r>
        <w:t xml:space="preserve"> se </w:t>
      </w:r>
      <w:proofErr w:type="spellStart"/>
      <w:r>
        <w:t>răsfrâng</w:t>
      </w:r>
      <w:proofErr w:type="spellEnd"/>
      <w:r>
        <w:t xml:space="preserve"> </w:t>
      </w:r>
      <w:proofErr w:type="spellStart"/>
      <w:r>
        <w:t>efectele</w:t>
      </w:r>
      <w:proofErr w:type="spellEnd"/>
      <w:r>
        <w:t xml:space="preserve"> </w:t>
      </w:r>
      <w:proofErr w:type="spellStart"/>
      <w:r>
        <w:t>hotărârilor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acţionarilor</w:t>
      </w:r>
      <w:proofErr w:type="spellEnd"/>
      <w:r>
        <w:t xml:space="preserve">. </w:t>
      </w:r>
    </w:p>
    <w:p w14:paraId="0803CE5F" w14:textId="77777777" w:rsidR="006A19DA" w:rsidRDefault="006A19DA" w:rsidP="00865718">
      <w:pPr>
        <w:spacing w:after="120" w:line="240" w:lineRule="auto"/>
        <w:ind w:firstLine="720"/>
        <w:jc w:val="both"/>
      </w:pPr>
      <w:proofErr w:type="spellStart"/>
      <w:r>
        <w:t>Această</w:t>
      </w:r>
      <w:proofErr w:type="spellEnd"/>
      <w:r>
        <w:t xml:space="preserve"> data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stabilită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acţionarilor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ulterioară</w:t>
      </w:r>
      <w:proofErr w:type="spellEnd"/>
      <w:r>
        <w:t xml:space="preserve"> cu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puţin</w:t>
      </w:r>
      <w:proofErr w:type="spellEnd"/>
      <w:r>
        <w:t xml:space="preserve"> 10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</w:t>
      </w:r>
      <w:proofErr w:type="spellStart"/>
      <w:r>
        <w:t>datei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a </w:t>
      </w:r>
      <w:proofErr w:type="spellStart"/>
      <w:r>
        <w:t>acţionarilor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 2 </w:t>
      </w:r>
      <w:proofErr w:type="spellStart"/>
      <w:r>
        <w:t>alineatul</w:t>
      </w:r>
      <w:proofErr w:type="spellEnd"/>
      <w:r>
        <w:t xml:space="preserve"> (2) </w:t>
      </w:r>
      <w:proofErr w:type="spellStart"/>
      <w:r>
        <w:t>litera</w:t>
      </w:r>
      <w:proofErr w:type="spellEnd"/>
      <w:r>
        <w:t xml:space="preserve"> l) din </w:t>
      </w:r>
      <w:proofErr w:type="spellStart"/>
      <w:r>
        <w:t>Regulamentul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de </w:t>
      </w:r>
      <w:proofErr w:type="spellStart"/>
      <w:r>
        <w:t>Supraveghere</w:t>
      </w:r>
      <w:proofErr w:type="spellEnd"/>
      <w:r>
        <w:t xml:space="preserve"> </w:t>
      </w:r>
      <w:proofErr w:type="spellStart"/>
      <w:r>
        <w:t>Financiară</w:t>
      </w:r>
      <w:proofErr w:type="spellEnd"/>
      <w:r>
        <w:t xml:space="preserve"> nr. 5/2018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emitenţii</w:t>
      </w:r>
      <w:proofErr w:type="spellEnd"/>
      <w:r>
        <w:t xml:space="preserve"> de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operaţiuni</w:t>
      </w:r>
      <w:proofErr w:type="spellEnd"/>
      <w:r>
        <w:t xml:space="preserve"> de </w:t>
      </w:r>
      <w:proofErr w:type="spellStart"/>
      <w:r>
        <w:t>piaţă</w:t>
      </w:r>
      <w:proofErr w:type="spellEnd"/>
      <w:r>
        <w:t xml:space="preserve">, Ex – Date </w:t>
      </w:r>
      <w:proofErr w:type="spellStart"/>
      <w:r>
        <w:t>este</w:t>
      </w:r>
      <w:proofErr w:type="spellEnd"/>
      <w:r>
        <w:t xml:space="preserve"> data </w:t>
      </w:r>
      <w:proofErr w:type="spellStart"/>
      <w:r>
        <w:t>anterioară</w:t>
      </w:r>
      <w:proofErr w:type="spellEnd"/>
      <w:r>
        <w:t xml:space="preserve"> </w:t>
      </w:r>
      <w:proofErr w:type="spellStart"/>
      <w:r>
        <w:t>datei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 cu un </w:t>
      </w:r>
      <w:proofErr w:type="spellStart"/>
      <w:r>
        <w:t>ciclu</w:t>
      </w:r>
      <w:proofErr w:type="spellEnd"/>
      <w:r>
        <w:t xml:space="preserve"> de </w:t>
      </w:r>
      <w:proofErr w:type="spellStart"/>
      <w:r>
        <w:t>decontare</w:t>
      </w:r>
      <w:proofErr w:type="spellEnd"/>
      <w:r>
        <w:t xml:space="preserve"> minus o zi </w:t>
      </w:r>
      <w:proofErr w:type="spellStart"/>
      <w:r>
        <w:t>lucrătoare</w:t>
      </w:r>
      <w:proofErr w:type="spellEnd"/>
      <w:r>
        <w:t xml:space="preserve">, de la care </w:t>
      </w:r>
      <w:proofErr w:type="spellStart"/>
      <w:r>
        <w:t>instrumentele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obiect</w:t>
      </w:r>
      <w:proofErr w:type="spellEnd"/>
      <w:r>
        <w:t xml:space="preserve"> al </w:t>
      </w:r>
      <w:proofErr w:type="spellStart"/>
      <w:r>
        <w:t>hotărârilor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</w:t>
      </w:r>
      <w:proofErr w:type="spellStart"/>
      <w:r>
        <w:t>societare</w:t>
      </w:r>
      <w:proofErr w:type="spellEnd"/>
      <w:r>
        <w:t xml:space="preserve"> se </w:t>
      </w:r>
      <w:proofErr w:type="spellStart"/>
      <w:r>
        <w:t>tranzacţionează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drepturile</w:t>
      </w:r>
      <w:proofErr w:type="spellEnd"/>
      <w:r>
        <w:t xml:space="preserve"> care </w:t>
      </w:r>
      <w:proofErr w:type="spellStart"/>
      <w:r>
        <w:t>derivă</w:t>
      </w:r>
      <w:proofErr w:type="spellEnd"/>
      <w:r>
        <w:t xml:space="preserve"> din </w:t>
      </w:r>
      <w:proofErr w:type="spellStart"/>
      <w:r>
        <w:t>respectiva</w:t>
      </w:r>
      <w:proofErr w:type="spellEnd"/>
      <w:r>
        <w:t xml:space="preserve"> </w:t>
      </w:r>
      <w:proofErr w:type="spellStart"/>
      <w:r>
        <w:t>hotărâre</w:t>
      </w:r>
      <w:proofErr w:type="spellEnd"/>
      <w:r>
        <w:t>.</w:t>
      </w:r>
    </w:p>
    <w:p w14:paraId="1510D4AD" w14:textId="77777777" w:rsidR="006A19DA" w:rsidRDefault="006A19DA" w:rsidP="00865718">
      <w:pPr>
        <w:spacing w:after="120" w:line="240" w:lineRule="auto"/>
        <w:ind w:firstLine="72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 2 </w:t>
      </w:r>
      <w:proofErr w:type="spellStart"/>
      <w:r>
        <w:t>alineatul</w:t>
      </w:r>
      <w:proofErr w:type="spellEnd"/>
      <w:r>
        <w:t xml:space="preserve"> (2) </w:t>
      </w:r>
      <w:proofErr w:type="spellStart"/>
      <w:r>
        <w:t>litera</w:t>
      </w:r>
      <w:proofErr w:type="spellEnd"/>
      <w:r>
        <w:t xml:space="preserve"> h) din </w:t>
      </w:r>
      <w:proofErr w:type="spellStart"/>
      <w:r>
        <w:t>Regulamentul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de </w:t>
      </w:r>
      <w:proofErr w:type="spellStart"/>
      <w:r>
        <w:t>Supraveghere</w:t>
      </w:r>
      <w:proofErr w:type="spellEnd"/>
      <w:r>
        <w:t xml:space="preserve"> </w:t>
      </w:r>
      <w:proofErr w:type="spellStart"/>
      <w:r>
        <w:t>Financiară</w:t>
      </w:r>
      <w:proofErr w:type="spellEnd"/>
      <w:r>
        <w:t xml:space="preserve"> nr.5/2018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emitenţii</w:t>
      </w:r>
      <w:proofErr w:type="spellEnd"/>
      <w:r>
        <w:t xml:space="preserve"> de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operaţiuni</w:t>
      </w:r>
      <w:proofErr w:type="spellEnd"/>
      <w:r>
        <w:t xml:space="preserve"> de </w:t>
      </w:r>
      <w:proofErr w:type="spellStart"/>
      <w:r>
        <w:t>piaţă</w:t>
      </w:r>
      <w:proofErr w:type="spellEnd"/>
      <w:r>
        <w:t xml:space="preserve">, data </w:t>
      </w:r>
      <w:proofErr w:type="spellStart"/>
      <w:r>
        <w:t>plăţii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data </w:t>
      </w:r>
      <w:proofErr w:type="spellStart"/>
      <w:r>
        <w:t>calendaristică</w:t>
      </w:r>
      <w:proofErr w:type="spellEnd"/>
      <w:r>
        <w:t xml:space="preserve"> </w:t>
      </w:r>
      <w:proofErr w:type="spellStart"/>
      <w:r>
        <w:t>expres</w:t>
      </w:r>
      <w:proofErr w:type="spellEnd"/>
      <w:r>
        <w:t xml:space="preserve"> </w:t>
      </w:r>
      <w:proofErr w:type="spellStart"/>
      <w:r>
        <w:t>specificată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zz</w:t>
      </w:r>
      <w:proofErr w:type="spellEnd"/>
      <w:r>
        <w:t>/</w:t>
      </w:r>
      <w:proofErr w:type="spellStart"/>
      <w:r>
        <w:t>ll</w:t>
      </w:r>
      <w:proofErr w:type="spellEnd"/>
      <w:r>
        <w:t xml:space="preserve">/an, la care </w:t>
      </w:r>
      <w:proofErr w:type="spellStart"/>
      <w:r>
        <w:t>rezultatele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eveniment</w:t>
      </w:r>
      <w:proofErr w:type="spellEnd"/>
      <w:r>
        <w:t xml:space="preserve"> </w:t>
      </w:r>
      <w:proofErr w:type="spellStart"/>
      <w:r>
        <w:t>corporativ</w:t>
      </w:r>
      <w:proofErr w:type="spellEnd"/>
      <w:r>
        <w:t xml:space="preserve">,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deţinerii</w:t>
      </w:r>
      <w:proofErr w:type="spellEnd"/>
      <w:r>
        <w:t xml:space="preserve"> de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, sunt </w:t>
      </w:r>
      <w:proofErr w:type="spellStart"/>
      <w:r>
        <w:t>datorate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la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realizată</w:t>
      </w:r>
      <w:proofErr w:type="spellEnd"/>
      <w:r>
        <w:t xml:space="preserve"> </w:t>
      </w:r>
      <w:proofErr w:type="spellStart"/>
      <w:r>
        <w:t>debitarea</w:t>
      </w:r>
      <w:proofErr w:type="spellEnd"/>
      <w:r>
        <w:t xml:space="preserve"> si/</w:t>
      </w:r>
      <w:proofErr w:type="spellStart"/>
      <w:r>
        <w:t>sau</w:t>
      </w:r>
      <w:proofErr w:type="spellEnd"/>
      <w:r>
        <w:t xml:space="preserve"> </w:t>
      </w:r>
      <w:proofErr w:type="spellStart"/>
      <w:r>
        <w:t>creditarea</w:t>
      </w:r>
      <w:proofErr w:type="spellEnd"/>
      <w:r>
        <w:t xml:space="preserve"> de </w:t>
      </w:r>
      <w:proofErr w:type="spellStart"/>
      <w:r>
        <w:t>sume</w:t>
      </w:r>
      <w:proofErr w:type="spellEnd"/>
      <w:r>
        <w:t xml:space="preserve"> de </w:t>
      </w:r>
      <w:proofErr w:type="spellStart"/>
      <w:r>
        <w:t>bani</w:t>
      </w:r>
      <w:proofErr w:type="spellEnd"/>
      <w:r>
        <w:t xml:space="preserve"> si/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. </w:t>
      </w:r>
    </w:p>
    <w:p w14:paraId="41BBB33C" w14:textId="77777777" w:rsidR="006A19DA" w:rsidRDefault="006A19DA" w:rsidP="00865718">
      <w:pPr>
        <w:spacing w:after="120" w:line="240" w:lineRule="auto"/>
        <w:ind w:firstLine="72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 178 </w:t>
      </w:r>
      <w:proofErr w:type="spellStart"/>
      <w:r>
        <w:t>alineatul</w:t>
      </w:r>
      <w:proofErr w:type="spellEnd"/>
      <w:r>
        <w:t xml:space="preserve"> (4) din </w:t>
      </w:r>
      <w:proofErr w:type="spellStart"/>
      <w:r>
        <w:t>Regulamentul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de </w:t>
      </w:r>
      <w:proofErr w:type="spellStart"/>
      <w:r>
        <w:t>Supraveghere</w:t>
      </w:r>
      <w:proofErr w:type="spellEnd"/>
      <w:r>
        <w:t xml:space="preserve"> </w:t>
      </w:r>
      <w:proofErr w:type="spellStart"/>
      <w:r>
        <w:t>Financiară</w:t>
      </w:r>
      <w:proofErr w:type="spellEnd"/>
      <w:r>
        <w:t xml:space="preserve"> nr. 5/2018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emitenţii</w:t>
      </w:r>
      <w:proofErr w:type="spellEnd"/>
      <w:r>
        <w:t xml:space="preserve"> de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operaţiuni</w:t>
      </w:r>
      <w:proofErr w:type="spellEnd"/>
      <w:r>
        <w:t xml:space="preserve"> de </w:t>
      </w:r>
      <w:proofErr w:type="spellStart"/>
      <w:r>
        <w:t>piaţă</w:t>
      </w:r>
      <w:proofErr w:type="spellEnd"/>
      <w:r>
        <w:t xml:space="preserve">, “in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evenimentelor</w:t>
      </w:r>
      <w:proofErr w:type="spellEnd"/>
      <w:r>
        <w:t xml:space="preserve"> corporative ale </w:t>
      </w:r>
      <w:proofErr w:type="spellStart"/>
      <w:r>
        <w:t>căror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sunt </w:t>
      </w:r>
      <w:proofErr w:type="spellStart"/>
      <w:r>
        <w:t>instrumente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,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generală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acţionarilor</w:t>
      </w:r>
      <w:proofErr w:type="spellEnd"/>
      <w:r>
        <w:t xml:space="preserve"> </w:t>
      </w:r>
      <w:proofErr w:type="spellStart"/>
      <w:r>
        <w:t>stabileşte</w:t>
      </w:r>
      <w:proofErr w:type="spellEnd"/>
      <w:r>
        <w:t xml:space="preserve"> data </w:t>
      </w:r>
      <w:proofErr w:type="spellStart"/>
      <w:r>
        <w:t>plăţii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</w:t>
      </w:r>
      <w:proofErr w:type="spellStart"/>
      <w:r>
        <w:t>ulterioară</w:t>
      </w:r>
      <w:proofErr w:type="spellEnd"/>
      <w:r>
        <w:t xml:space="preserve"> </w:t>
      </w:r>
      <w:proofErr w:type="spellStart"/>
      <w:r>
        <w:t>datei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, </w:t>
      </w:r>
      <w:proofErr w:type="spellStart"/>
      <w:r>
        <w:t>aceasta</w:t>
      </w:r>
      <w:proofErr w:type="spellEnd"/>
      <w:r>
        <w:t xml:space="preserve"> din </w:t>
      </w:r>
      <w:proofErr w:type="spellStart"/>
      <w:r>
        <w:t>urmă</w:t>
      </w:r>
      <w:proofErr w:type="spellEnd"/>
      <w:r>
        <w:t xml:space="preserve"> </w:t>
      </w:r>
      <w:proofErr w:type="spellStart"/>
      <w:r>
        <w:t>stabilindu</w:t>
      </w:r>
      <w:proofErr w:type="spellEnd"/>
      <w:r>
        <w:t xml:space="preserve">-se cu </w:t>
      </w:r>
      <w:proofErr w:type="spellStart"/>
      <w:r>
        <w:t>luarea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inclusiv</w:t>
      </w:r>
      <w:proofErr w:type="spellEnd"/>
      <w:r>
        <w:t xml:space="preserve"> a </w:t>
      </w:r>
      <w:proofErr w:type="spellStart"/>
      <w:r>
        <w:t>termenelor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înregistrării</w:t>
      </w:r>
      <w:proofErr w:type="spellEnd"/>
      <w:r>
        <w:t xml:space="preserve"> </w:t>
      </w:r>
      <w:proofErr w:type="spellStart"/>
      <w:r>
        <w:t>evenimentului</w:t>
      </w:r>
      <w:proofErr w:type="spellEnd"/>
      <w:r>
        <w:t xml:space="preserve"> la ORC </w:t>
      </w:r>
      <w:proofErr w:type="spellStart"/>
      <w:r>
        <w:t>şi</w:t>
      </w:r>
      <w:proofErr w:type="spellEnd"/>
      <w:r>
        <w:t xml:space="preserve"> A.S.F.”. </w:t>
      </w:r>
    </w:p>
    <w:p w14:paraId="58D7DC16" w14:textId="77777777" w:rsidR="006A19DA" w:rsidRDefault="006A19DA" w:rsidP="00865718">
      <w:pPr>
        <w:spacing w:after="120" w:line="240" w:lineRule="auto"/>
        <w:ind w:firstLine="720"/>
        <w:jc w:val="both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cerinţele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 </w:t>
      </w:r>
      <w:proofErr w:type="spellStart"/>
      <w:r>
        <w:t>menţionate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ale </w:t>
      </w:r>
      <w:proofErr w:type="spellStart"/>
      <w:r>
        <w:t>articolul</w:t>
      </w:r>
      <w:proofErr w:type="spellEnd"/>
      <w:r>
        <w:t xml:space="preserve"> 176, </w:t>
      </w:r>
      <w:proofErr w:type="spellStart"/>
      <w:r>
        <w:t>alineatul</w:t>
      </w:r>
      <w:proofErr w:type="spellEnd"/>
      <w:r>
        <w:t xml:space="preserve"> (1) din </w:t>
      </w:r>
      <w:proofErr w:type="spellStart"/>
      <w:r>
        <w:t>Regulamentul</w:t>
      </w:r>
      <w:proofErr w:type="spellEnd"/>
      <w:r>
        <w:t xml:space="preserve"> nr. 5/2018 care </w:t>
      </w:r>
      <w:proofErr w:type="spellStart"/>
      <w:r>
        <w:t>prevede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odată</w:t>
      </w:r>
      <w:proofErr w:type="spellEnd"/>
      <w:r>
        <w:t xml:space="preserve"> cu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eveniment</w:t>
      </w:r>
      <w:proofErr w:type="spellEnd"/>
      <w:r>
        <w:t xml:space="preserve"> </w:t>
      </w:r>
      <w:proofErr w:type="spellStart"/>
      <w:r>
        <w:t>corporativ</w:t>
      </w:r>
      <w:proofErr w:type="spellEnd"/>
      <w:r>
        <w:t xml:space="preserve">,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stabili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lastRenderedPageBreak/>
        <w:t>detaliile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desfăşurarea</w:t>
      </w:r>
      <w:proofErr w:type="spellEnd"/>
      <w:r>
        <w:t xml:space="preserve"> </w:t>
      </w:r>
      <w:proofErr w:type="spellStart"/>
      <w:r>
        <w:t>respectivului</w:t>
      </w:r>
      <w:proofErr w:type="spellEnd"/>
      <w:r>
        <w:t xml:space="preserve"> </w:t>
      </w:r>
      <w:proofErr w:type="spellStart"/>
      <w:r>
        <w:t>eveniment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ex date</w:t>
      </w:r>
      <w:proofErr w:type="spellEnd"/>
      <w:r>
        <w:t xml:space="preserve">, data de </w:t>
      </w:r>
      <w:proofErr w:type="spellStart"/>
      <w:r>
        <w:t>înregistrare</w:t>
      </w:r>
      <w:proofErr w:type="spellEnd"/>
      <w:r>
        <w:t xml:space="preserve"> si data </w:t>
      </w:r>
      <w:proofErr w:type="spellStart"/>
      <w:r>
        <w:t>platii</w:t>
      </w:r>
      <w:proofErr w:type="spellEnd"/>
      <w:r>
        <w:t>,</w:t>
      </w:r>
    </w:p>
    <w:p w14:paraId="6C232948" w14:textId="77777777" w:rsidR="006A19DA" w:rsidRDefault="006A19DA" w:rsidP="00865718">
      <w:pPr>
        <w:spacing w:after="120" w:line="240" w:lineRule="auto"/>
        <w:ind w:firstLine="720"/>
        <w:jc w:val="both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punctul</w:t>
      </w:r>
      <w:proofErr w:type="spellEnd"/>
      <w:r>
        <w:t xml:space="preserve"> 2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ordinii</w:t>
      </w:r>
      <w:proofErr w:type="spellEnd"/>
      <w:r>
        <w:t xml:space="preserve"> de zi a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</w:t>
      </w:r>
      <w:proofErr w:type="spellStart"/>
      <w:r>
        <w:t>Ordinare</w:t>
      </w:r>
      <w:proofErr w:type="spellEnd"/>
      <w:r>
        <w:t xml:space="preserve"> a </w:t>
      </w:r>
      <w:proofErr w:type="spellStart"/>
      <w:r>
        <w:t>Acționarilor</w:t>
      </w:r>
      <w:proofErr w:type="spellEnd"/>
      <w:r>
        <w:t xml:space="preserve"> AROBS TRANSILVANIA SOFTWARE SA, </w:t>
      </w:r>
      <w:proofErr w:type="spellStart"/>
      <w:r>
        <w:t>convocată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7 </w:t>
      </w:r>
      <w:proofErr w:type="spellStart"/>
      <w:r>
        <w:t>martie</w:t>
      </w:r>
      <w:proofErr w:type="spellEnd"/>
      <w:r>
        <w:t xml:space="preserve"> 2022, </w:t>
      </w:r>
      <w:proofErr w:type="spellStart"/>
      <w:r>
        <w:t>respectiv</w:t>
      </w:r>
      <w:proofErr w:type="spellEnd"/>
      <w:r>
        <w:t xml:space="preserve"> “</w:t>
      </w:r>
      <w:r w:rsidRPr="00257AF5">
        <w:rPr>
          <w:lang w:val="ro-RO"/>
        </w:rPr>
        <w:t>Aprobarea datei de 23.03.2022 ca dată de înregistrare (ex-date 22.03.2022)</w:t>
      </w:r>
      <w:r>
        <w:t xml:space="preserve">”, </w:t>
      </w:r>
      <w:proofErr w:type="spellStart"/>
      <w:r>
        <w:t>Consiliul</w:t>
      </w:r>
      <w:proofErr w:type="spellEnd"/>
      <w:r>
        <w:t xml:space="preserve"> de </w:t>
      </w:r>
      <w:proofErr w:type="spellStart"/>
      <w:r>
        <w:t>Administrație</w:t>
      </w:r>
      <w:proofErr w:type="spellEnd"/>
      <w:r>
        <w:t xml:space="preserve"> al AROBS TRANSILVANIA SOFTWARE SA </w:t>
      </w:r>
      <w:proofErr w:type="spellStart"/>
      <w:r>
        <w:t>propune</w:t>
      </w:r>
      <w:proofErr w:type="spellEnd"/>
      <w:r>
        <w:t xml:space="preserve"> </w:t>
      </w:r>
      <w:proofErr w:type="spellStart"/>
      <w:r>
        <w:t>acționarilor</w:t>
      </w:r>
      <w:proofErr w:type="spellEnd"/>
      <w:r>
        <w:t xml:space="preserve">,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aprobare</w:t>
      </w:r>
      <w:proofErr w:type="spellEnd"/>
      <w:r>
        <w:t xml:space="preserve">: </w:t>
      </w:r>
    </w:p>
    <w:p w14:paraId="1BF3A193" w14:textId="4CFBEC7F" w:rsidR="006A19DA" w:rsidRDefault="006A19DA" w:rsidP="00865718">
      <w:pPr>
        <w:pStyle w:val="ListParagraph"/>
        <w:numPr>
          <w:ilvl w:val="0"/>
          <w:numId w:val="2"/>
        </w:numPr>
        <w:spacing w:after="120" w:line="240" w:lineRule="auto"/>
        <w:ind w:firstLine="720"/>
        <w:jc w:val="both"/>
        <w:rPr>
          <w:lang w:val="ro-RO"/>
        </w:rPr>
      </w:pPr>
      <w:r w:rsidRPr="00547A75">
        <w:rPr>
          <w:lang w:val="ro-RO"/>
        </w:rPr>
        <w:t>Aprobarea datei de 23.03.2022 ca dată de înregistrare (ex-date 22.03.2022) a acționarilor asupra cărora se răsfrâng efectele hotărârilor adoptate de Adunarea Generală Ordinară a Acționarilor, conform art. 86 din Legea nr. 24/2017.</w:t>
      </w:r>
    </w:p>
    <w:p w14:paraId="77ACB3ED" w14:textId="77777777" w:rsidR="006A19DA" w:rsidRPr="007219BC" w:rsidRDefault="006A19DA" w:rsidP="00865718">
      <w:pPr>
        <w:spacing w:after="120" w:line="240" w:lineRule="auto"/>
        <w:ind w:firstLine="720"/>
        <w:jc w:val="both"/>
        <w:rPr>
          <w:b/>
          <w:bCs/>
          <w:lang w:val="ro-RO"/>
        </w:rPr>
      </w:pPr>
    </w:p>
    <w:p w14:paraId="346CAECE" w14:textId="21E9A064" w:rsidR="007219BC" w:rsidRPr="00865718" w:rsidRDefault="006A19DA" w:rsidP="00865718">
      <w:pPr>
        <w:spacing w:after="120" w:line="240" w:lineRule="auto"/>
        <w:jc w:val="both"/>
        <w:rPr>
          <w:b/>
          <w:bCs/>
          <w:sz w:val="24"/>
          <w:szCs w:val="24"/>
          <w:lang w:val="ro-RO"/>
        </w:rPr>
      </w:pPr>
      <w:r w:rsidRPr="00865718">
        <w:rPr>
          <w:b/>
          <w:bCs/>
          <w:sz w:val="24"/>
          <w:szCs w:val="24"/>
        </w:rPr>
        <w:t xml:space="preserve">3. </w:t>
      </w:r>
      <w:r w:rsidR="007219BC" w:rsidRPr="00865718">
        <w:rPr>
          <w:b/>
          <w:bCs/>
          <w:sz w:val="24"/>
          <w:szCs w:val="24"/>
          <w:lang w:val="ro-RO"/>
        </w:rPr>
        <w:t xml:space="preserve">Împuternicirea Președintelui Consiliului de Administrație pentru a semna în numele </w:t>
      </w:r>
      <w:r w:rsidR="00865718" w:rsidRPr="00865718">
        <w:rPr>
          <w:b/>
          <w:bCs/>
          <w:sz w:val="24"/>
          <w:szCs w:val="24"/>
          <w:lang w:val="ro-RO"/>
        </w:rPr>
        <w:t>acționarilor hotărârile</w:t>
      </w:r>
      <w:r w:rsidR="007219BC" w:rsidRPr="00865718">
        <w:rPr>
          <w:b/>
          <w:bCs/>
          <w:sz w:val="24"/>
          <w:szCs w:val="24"/>
          <w:lang w:val="ro-RO"/>
        </w:rPr>
        <w:t xml:space="preserve"> AGOA și pentru a îndeplini orice act sau formalitate cerute de lege pentru înregistrarea hotărârilor AGOA, inclusiv modificarea si semnarea actului constitutiv. </w:t>
      </w:r>
    </w:p>
    <w:p w14:paraId="4D9FF193" w14:textId="77777777" w:rsidR="007219BC" w:rsidRDefault="007219BC" w:rsidP="00865718">
      <w:pPr>
        <w:spacing w:after="120" w:line="240" w:lineRule="auto"/>
        <w:ind w:firstLine="720"/>
        <w:jc w:val="both"/>
      </w:pPr>
    </w:p>
    <w:p w14:paraId="6866D40D" w14:textId="2CE44E63" w:rsidR="008619A0" w:rsidRDefault="008619A0" w:rsidP="00865718">
      <w:pPr>
        <w:spacing w:after="120" w:line="240" w:lineRule="auto"/>
        <w:ind w:firstLine="72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articolul</w:t>
      </w:r>
      <w:proofErr w:type="spellEnd"/>
      <w:r>
        <w:t xml:space="preserve"> 131 </w:t>
      </w:r>
      <w:proofErr w:type="spellStart"/>
      <w:r>
        <w:t>alineatul</w:t>
      </w:r>
      <w:proofErr w:type="spellEnd"/>
      <w:r>
        <w:t xml:space="preserve"> (4) din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Societăților</w:t>
      </w:r>
      <w:proofErr w:type="spellEnd"/>
      <w:r>
        <w:t xml:space="preserve"> nr. 31/1990, </w:t>
      </w:r>
      <w:proofErr w:type="spellStart"/>
      <w:r>
        <w:t>pentru</w:t>
      </w:r>
      <w:proofErr w:type="spellEnd"/>
      <w:r>
        <w:t xml:space="preserve"> a fi </w:t>
      </w:r>
      <w:proofErr w:type="spellStart"/>
      <w:r>
        <w:t>opozabile</w:t>
      </w:r>
      <w:proofErr w:type="spellEnd"/>
      <w:r>
        <w:t xml:space="preserve"> </w:t>
      </w:r>
      <w:proofErr w:type="spellStart"/>
      <w:r>
        <w:t>terţilor</w:t>
      </w:r>
      <w:proofErr w:type="spellEnd"/>
      <w:r>
        <w:t xml:space="preserve">, </w:t>
      </w:r>
      <w:proofErr w:type="spellStart"/>
      <w:r>
        <w:t>hotărârile</w:t>
      </w:r>
      <w:proofErr w:type="spellEnd"/>
      <w:r>
        <w:t xml:space="preserve"> </w:t>
      </w:r>
      <w:proofErr w:type="spellStart"/>
      <w:r>
        <w:t>adunărilor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ale </w:t>
      </w:r>
      <w:proofErr w:type="spellStart"/>
      <w:r>
        <w:t>acţionarilor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la </w:t>
      </w:r>
      <w:proofErr w:type="spellStart"/>
      <w:r>
        <w:t>Oficiul</w:t>
      </w:r>
      <w:proofErr w:type="spellEnd"/>
      <w:r>
        <w:t xml:space="preserve"> </w:t>
      </w:r>
      <w:proofErr w:type="spellStart"/>
      <w:r>
        <w:t>Registrului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.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făcută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15 </w:t>
      </w:r>
      <w:proofErr w:type="spellStart"/>
      <w:r>
        <w:t>zile</w:t>
      </w:r>
      <w:proofErr w:type="spellEnd"/>
      <w:r>
        <w:t xml:space="preserve"> de la data la care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hotărâri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a fi </w:t>
      </w:r>
      <w:proofErr w:type="spellStart"/>
      <w:r>
        <w:t>înregistrate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evidenţele</w:t>
      </w:r>
      <w:proofErr w:type="spellEnd"/>
      <w:r>
        <w:t xml:space="preserve"> </w:t>
      </w:r>
      <w:proofErr w:type="spellStart"/>
      <w:r>
        <w:t>Registrului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publicate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Monitorul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al </w:t>
      </w:r>
      <w:proofErr w:type="spellStart"/>
      <w:r>
        <w:t>României</w:t>
      </w:r>
      <w:proofErr w:type="spellEnd"/>
      <w:r>
        <w:t xml:space="preserve">, </w:t>
      </w:r>
      <w:proofErr w:type="spellStart"/>
      <w:r>
        <w:t>Partea</w:t>
      </w:r>
      <w:proofErr w:type="spellEnd"/>
      <w:r>
        <w:t xml:space="preserve"> a IV-a. 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acţionarii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informaţi</w:t>
      </w:r>
      <w:proofErr w:type="spellEnd"/>
      <w:r>
        <w:t xml:space="preserve"> cu </w:t>
      </w:r>
      <w:proofErr w:type="spellStart"/>
      <w:r>
        <w:t>privie</w:t>
      </w:r>
      <w:proofErr w:type="spellEnd"/>
      <w:r>
        <w:t xml:space="preserve"> la </w:t>
      </w:r>
      <w:proofErr w:type="spellStart"/>
      <w:r>
        <w:t>hotărârile</w:t>
      </w:r>
      <w:proofErr w:type="spellEnd"/>
      <w:r>
        <w:t xml:space="preserve"> </w:t>
      </w:r>
      <w:proofErr w:type="spellStart"/>
      <w:r>
        <w:t>Adunării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</w:t>
      </w:r>
      <w:proofErr w:type="spellStart"/>
      <w:r>
        <w:t>Ordinare</w:t>
      </w:r>
      <w:proofErr w:type="spellEnd"/>
      <w:r>
        <w:t xml:space="preserve"> a </w:t>
      </w:r>
      <w:proofErr w:type="spellStart"/>
      <w:r>
        <w:t>Acţionarilor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website-</w:t>
      </w:r>
      <w:proofErr w:type="spellStart"/>
      <w:r>
        <w:t>ului</w:t>
      </w:r>
      <w:proofErr w:type="spellEnd"/>
      <w:r>
        <w:t xml:space="preserve"> </w:t>
      </w:r>
      <w:proofErr w:type="spellStart"/>
      <w:r>
        <w:t>societăţii</w:t>
      </w:r>
      <w:proofErr w:type="spellEnd"/>
      <w:r>
        <w:t xml:space="preserve"> (arobs.com </w:t>
      </w:r>
      <w:proofErr w:type="spellStart"/>
      <w:r>
        <w:t>și</w:t>
      </w:r>
      <w:proofErr w:type="spellEnd"/>
      <w:r>
        <w:t xml:space="preserve"> arobsgru</w:t>
      </w:r>
      <w:r w:rsidR="00796DE1">
        <w:t>p.ro</w:t>
      </w:r>
      <w:r>
        <w:t xml:space="preserve">)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Bursei</w:t>
      </w:r>
      <w:proofErr w:type="spellEnd"/>
      <w:r>
        <w:t xml:space="preserve"> de </w:t>
      </w:r>
      <w:proofErr w:type="spellStart"/>
      <w:r>
        <w:t>Valori</w:t>
      </w:r>
      <w:proofErr w:type="spellEnd"/>
      <w:r>
        <w:t xml:space="preserve"> </w:t>
      </w:r>
      <w:proofErr w:type="spellStart"/>
      <w:r w:rsidR="00501CE6">
        <w:t>Bucureşti</w:t>
      </w:r>
      <w:proofErr w:type="spellEnd"/>
      <w:r w:rsidR="00501CE6">
        <w:t>.</w:t>
      </w:r>
      <w:r>
        <w:t xml:space="preserve"> </w:t>
      </w:r>
    </w:p>
    <w:p w14:paraId="6E313979" w14:textId="5544202B" w:rsidR="005112DC" w:rsidRDefault="005112DC" w:rsidP="00865718">
      <w:pPr>
        <w:spacing w:after="120" w:line="240" w:lineRule="auto"/>
        <w:ind w:firstLine="720"/>
        <w:jc w:val="both"/>
      </w:pPr>
      <w:proofErr w:type="spellStart"/>
      <w:r>
        <w:t>Av</w:t>
      </w:r>
      <w:r w:rsidR="009546B0">
        <w:t>â</w:t>
      </w:r>
      <w:r>
        <w:t>nd</w:t>
      </w:r>
      <w:proofErr w:type="spellEnd"/>
      <w:r>
        <w:t xml:space="preserve"> </w:t>
      </w:r>
      <w:proofErr w:type="spellStart"/>
      <w:r w:rsidR="003F354B">
        <w:t>î</w:t>
      </w:r>
      <w:r>
        <w:t>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punctul</w:t>
      </w:r>
      <w:proofErr w:type="spellEnd"/>
      <w:r>
        <w:t xml:space="preserve"> </w:t>
      </w:r>
      <w:r w:rsidR="00501CE6">
        <w:t>3</w:t>
      </w:r>
      <w:r w:rsidR="003B15AB">
        <w:t xml:space="preserve"> </w:t>
      </w:r>
      <w:r>
        <w:t xml:space="preserve">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ordinii</w:t>
      </w:r>
      <w:proofErr w:type="spellEnd"/>
      <w:r>
        <w:t xml:space="preserve"> de zi a </w:t>
      </w:r>
      <w:proofErr w:type="spellStart"/>
      <w:r>
        <w:t>Adun</w:t>
      </w:r>
      <w:r w:rsidR="003F354B">
        <w:t>ă</w:t>
      </w:r>
      <w:r>
        <w:t>rii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</w:t>
      </w:r>
      <w:proofErr w:type="spellStart"/>
      <w:r>
        <w:t>Ordinare</w:t>
      </w:r>
      <w:proofErr w:type="spellEnd"/>
      <w:r>
        <w:t xml:space="preserve"> a </w:t>
      </w:r>
      <w:proofErr w:type="spellStart"/>
      <w:r>
        <w:t>Ac</w:t>
      </w:r>
      <w:r w:rsidR="003F354B">
        <w:t>ț</w:t>
      </w:r>
      <w:r>
        <w:t>ionarilor</w:t>
      </w:r>
      <w:proofErr w:type="spellEnd"/>
      <w:r>
        <w:t xml:space="preserve"> AROBS TRANSILVANIA SOFTWARE SA</w:t>
      </w:r>
      <w:r w:rsidR="003F354B">
        <w:t xml:space="preserve">, </w:t>
      </w:r>
      <w:proofErr w:type="spellStart"/>
      <w:r>
        <w:t>convocat</w:t>
      </w:r>
      <w:r w:rsidR="003F354B">
        <w:t>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7 </w:t>
      </w:r>
      <w:proofErr w:type="spellStart"/>
      <w:r>
        <w:t>martie</w:t>
      </w:r>
      <w:proofErr w:type="spellEnd"/>
      <w:r>
        <w:t xml:space="preserve"> 2022, </w:t>
      </w:r>
      <w:proofErr w:type="spellStart"/>
      <w:r>
        <w:t>respectiv</w:t>
      </w:r>
      <w:proofErr w:type="spellEnd"/>
      <w:r>
        <w:t xml:space="preserve"> “</w:t>
      </w:r>
      <w:r w:rsidR="00501CE6" w:rsidRPr="00257AF5">
        <w:rPr>
          <w:lang w:val="ro-RO"/>
        </w:rPr>
        <w:t>Împuternicirea Președintelui Consiliului de Administrație  pentru a semna în numele acționarilor  hotărârile AGOA și pentru a îndeplini orice act sau formalitate cerute de lege pentru înregistrarea hotărârilor AGOA, inclusiv modificarea si semnarea actului constitutiv</w:t>
      </w:r>
      <w:r>
        <w:t xml:space="preserve">”, </w:t>
      </w:r>
      <w:proofErr w:type="spellStart"/>
      <w:r>
        <w:t>Consiliul</w:t>
      </w:r>
      <w:proofErr w:type="spellEnd"/>
      <w:r>
        <w:t xml:space="preserve"> de </w:t>
      </w:r>
      <w:proofErr w:type="spellStart"/>
      <w:r>
        <w:t>Administra</w:t>
      </w:r>
      <w:r w:rsidR="003F354B">
        <w:t>ț</w:t>
      </w:r>
      <w:r>
        <w:t>ie</w:t>
      </w:r>
      <w:proofErr w:type="spellEnd"/>
      <w:r>
        <w:t xml:space="preserve"> al AROBS TRANSILVANIA SOFTWARE SA </w:t>
      </w:r>
      <w:proofErr w:type="spellStart"/>
      <w:r>
        <w:t>propune</w:t>
      </w:r>
      <w:proofErr w:type="spellEnd"/>
      <w:r>
        <w:t xml:space="preserve"> </w:t>
      </w:r>
      <w:proofErr w:type="spellStart"/>
      <w:r>
        <w:t>ac</w:t>
      </w:r>
      <w:r w:rsidR="00371C8B">
        <w:t>ț</w:t>
      </w:r>
      <w:r>
        <w:t>ionarilor</w:t>
      </w:r>
      <w:proofErr w:type="spellEnd"/>
      <w:r>
        <w:t xml:space="preserve">,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aprobare</w:t>
      </w:r>
      <w:proofErr w:type="spellEnd"/>
      <w:r>
        <w:t xml:space="preserve">: </w:t>
      </w:r>
    </w:p>
    <w:p w14:paraId="4FC91CF3" w14:textId="77777777" w:rsidR="00E1056E" w:rsidRPr="00E1056E" w:rsidRDefault="00E1056E" w:rsidP="00865718">
      <w:pPr>
        <w:pStyle w:val="ListParagraph"/>
        <w:numPr>
          <w:ilvl w:val="0"/>
          <w:numId w:val="3"/>
        </w:numPr>
        <w:spacing w:after="120" w:line="240" w:lineRule="auto"/>
        <w:ind w:firstLine="720"/>
        <w:jc w:val="both"/>
        <w:rPr>
          <w:b/>
          <w:bCs/>
          <w:lang w:val="ro-RO"/>
        </w:rPr>
      </w:pPr>
      <w:r w:rsidRPr="00257AF5">
        <w:rPr>
          <w:lang w:val="ro-RO"/>
        </w:rPr>
        <w:t xml:space="preserve">Împuternicirea Președintelui Consiliului de Administrație  pentru a semna în numele acționarilor  hotărârile AGOA și pentru a îndeplini orice act sau formalitate cerute de lege pentru înregistrarea hotărârilor AGOA, inclusiv modificarea si semnarea actului constitutiv. </w:t>
      </w:r>
    </w:p>
    <w:p w14:paraId="25D4FB2D" w14:textId="6E2BCAD8" w:rsidR="00E1056E" w:rsidRPr="00257AF5" w:rsidRDefault="00E1056E" w:rsidP="00865718">
      <w:pPr>
        <w:pStyle w:val="ListParagraph"/>
        <w:numPr>
          <w:ilvl w:val="0"/>
          <w:numId w:val="3"/>
        </w:numPr>
        <w:spacing w:after="120" w:line="240" w:lineRule="auto"/>
        <w:ind w:firstLine="720"/>
        <w:jc w:val="both"/>
        <w:rPr>
          <w:b/>
          <w:bCs/>
          <w:lang w:val="ro-RO"/>
        </w:rPr>
      </w:pPr>
      <w:r w:rsidRPr="00257AF5">
        <w:rPr>
          <w:lang w:val="ro-RO"/>
        </w:rPr>
        <w:t>Președintele Consiliului de Administrație poate delega toate sau o parte din puterile conferite mai sus oricărei/oricăror persoane competente pentru a îndeplini acest mandat</w:t>
      </w:r>
      <w:r w:rsidR="00501CE6">
        <w:rPr>
          <w:lang w:val="ro-RO"/>
        </w:rPr>
        <w:t xml:space="preserve">. </w:t>
      </w:r>
    </w:p>
    <w:p w14:paraId="0DC3D4EE" w14:textId="77777777" w:rsidR="00547A75" w:rsidRPr="00547A75" w:rsidRDefault="00547A75" w:rsidP="00865718">
      <w:pPr>
        <w:pStyle w:val="ListParagraph"/>
        <w:spacing w:after="120" w:line="240" w:lineRule="auto"/>
        <w:ind w:firstLine="720"/>
        <w:jc w:val="both"/>
        <w:rPr>
          <w:lang w:val="ro-RO"/>
        </w:rPr>
      </w:pPr>
    </w:p>
    <w:p w14:paraId="23BEF663" w14:textId="77777777" w:rsidR="00865718" w:rsidRDefault="00865718" w:rsidP="00865718">
      <w:pPr>
        <w:spacing w:after="120" w:line="240" w:lineRule="auto"/>
        <w:ind w:firstLine="720"/>
        <w:jc w:val="both"/>
        <w:rPr>
          <w:lang w:val="ro-RO"/>
        </w:rPr>
      </w:pPr>
    </w:p>
    <w:p w14:paraId="606DD4A8" w14:textId="0F289A95" w:rsidR="00371C8B" w:rsidRDefault="00371C8B" w:rsidP="00865718">
      <w:pPr>
        <w:spacing w:after="120" w:line="240" w:lineRule="auto"/>
        <w:ind w:firstLine="720"/>
        <w:jc w:val="both"/>
        <w:rPr>
          <w:lang w:val="ro-RO"/>
        </w:rPr>
      </w:pPr>
      <w:r>
        <w:rPr>
          <w:lang w:val="ro-RO"/>
        </w:rPr>
        <w:t>Președintele Consiliului de Administrație</w:t>
      </w:r>
    </w:p>
    <w:p w14:paraId="4E8F6A8D" w14:textId="4CB0C0D4" w:rsidR="005112DC" w:rsidRPr="00547A75" w:rsidRDefault="00371C8B" w:rsidP="00865718">
      <w:pPr>
        <w:spacing w:after="120" w:line="240" w:lineRule="auto"/>
        <w:ind w:firstLine="720"/>
        <w:jc w:val="both"/>
        <w:rPr>
          <w:lang w:val="ro-RO"/>
        </w:rPr>
      </w:pPr>
      <w:r>
        <w:rPr>
          <w:lang w:val="ro-RO"/>
        </w:rPr>
        <w:t>Voicu Oprean</w:t>
      </w:r>
    </w:p>
    <w:sectPr w:rsidR="005112DC" w:rsidRPr="00547A7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15CA6" w14:textId="77777777" w:rsidR="00F36281" w:rsidRDefault="00F36281" w:rsidP="00F36281">
      <w:pPr>
        <w:spacing w:after="0" w:line="240" w:lineRule="auto"/>
      </w:pPr>
      <w:r>
        <w:separator/>
      </w:r>
    </w:p>
  </w:endnote>
  <w:endnote w:type="continuationSeparator" w:id="0">
    <w:p w14:paraId="31FB42E6" w14:textId="77777777" w:rsidR="00F36281" w:rsidRDefault="00F36281" w:rsidP="00F3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5350" w14:textId="0A39900B" w:rsidR="00155274" w:rsidRDefault="00155274" w:rsidP="00155274">
    <w:pPr>
      <w:pStyle w:val="Footer"/>
      <w:jc w:val="right"/>
      <w:rPr>
        <w:rFonts w:ascii="Lato" w:hAnsi="Lato" w:cs="Tahoma"/>
        <w:b/>
        <w:sz w:val="16"/>
        <w:szCs w:val="16"/>
        <w:lang w:val="it-IT"/>
      </w:rPr>
    </w:pPr>
  </w:p>
  <w:p w14:paraId="19CF0A0B" w14:textId="77777777" w:rsidR="00155274" w:rsidRDefault="00155274" w:rsidP="00155274">
    <w:pPr>
      <w:pStyle w:val="Footer"/>
      <w:pBdr>
        <w:top w:val="single" w:sz="4" w:space="9" w:color="auto"/>
      </w:pBdr>
      <w:jc w:val="center"/>
      <w:rPr>
        <w:rFonts w:ascii="Lato" w:hAnsi="Lato" w:cs="Tahoma"/>
        <w:b/>
        <w:noProof/>
        <w:color w:val="000000"/>
        <w:sz w:val="16"/>
        <w:szCs w:val="16"/>
      </w:rPr>
    </w:pPr>
    <w:r>
      <w:rPr>
        <w:rFonts w:ascii="Lato" w:hAnsi="Lato" w:cs="Tahoma"/>
        <w:b/>
        <w:noProof/>
        <w:color w:val="000000"/>
        <w:sz w:val="16"/>
        <w:szCs w:val="16"/>
      </w:rPr>
      <w:t>AROBS TRANSILVANIA SOFTWARE S.A.</w:t>
    </w:r>
  </w:p>
  <w:p w14:paraId="36C103A4" w14:textId="77777777" w:rsidR="00155274" w:rsidRDefault="00155274" w:rsidP="00155274">
    <w:pPr>
      <w:pStyle w:val="Footer"/>
      <w:tabs>
        <w:tab w:val="left" w:pos="693"/>
        <w:tab w:val="center" w:pos="4873"/>
      </w:tabs>
      <w:jc w:val="center"/>
      <w:rPr>
        <w:rFonts w:ascii="Lato" w:hAnsi="Lato" w:cs="Tahoma"/>
        <w:noProof/>
        <w:color w:val="595959"/>
        <w:sz w:val="16"/>
        <w:szCs w:val="16"/>
      </w:rPr>
    </w:pPr>
    <w:r>
      <w:rPr>
        <w:rFonts w:ascii="Lato" w:hAnsi="Lato" w:cs="Tahoma"/>
        <w:noProof/>
        <w:color w:val="595959"/>
        <w:sz w:val="16"/>
        <w:szCs w:val="16"/>
      </w:rPr>
      <w:t xml:space="preserve">11 Donath street, building M4, entrance 2, 3rd floor, ap. 28, Cluj-Napoca, Cluj, Romania </w:t>
    </w:r>
  </w:p>
  <w:p w14:paraId="25B57489" w14:textId="77777777" w:rsidR="00155274" w:rsidRDefault="00155274" w:rsidP="00155274">
    <w:pPr>
      <w:pStyle w:val="Footer"/>
      <w:tabs>
        <w:tab w:val="left" w:pos="693"/>
        <w:tab w:val="center" w:pos="4873"/>
      </w:tabs>
      <w:jc w:val="center"/>
      <w:rPr>
        <w:rFonts w:ascii="Lato" w:hAnsi="Lato" w:cs="Tahoma"/>
        <w:noProof/>
        <w:color w:val="595959"/>
        <w:sz w:val="16"/>
        <w:szCs w:val="16"/>
      </w:rPr>
    </w:pPr>
    <w:r>
      <w:rPr>
        <w:rFonts w:ascii="Lato" w:hAnsi="Lato" w:cs="Tahoma"/>
        <w:noProof/>
        <w:color w:val="595959"/>
        <w:sz w:val="16"/>
        <w:szCs w:val="16"/>
      </w:rPr>
      <w:t xml:space="preserve">Sole Identification Code.: RO 11291045  </w:t>
    </w:r>
    <w:r>
      <w:rPr>
        <w:rFonts w:ascii="Lato" w:hAnsi="Lato" w:cs="Times New Roman"/>
        <w:noProof/>
        <w:color w:val="595959"/>
        <w:sz w:val="16"/>
        <w:szCs w:val="16"/>
      </w:rPr>
      <w:t>●</w:t>
    </w:r>
    <w:r>
      <w:rPr>
        <w:rFonts w:ascii="Lato" w:hAnsi="Lato" w:cs="Tahoma"/>
        <w:noProof/>
        <w:color w:val="595959"/>
        <w:sz w:val="16"/>
        <w:szCs w:val="16"/>
      </w:rPr>
      <w:t xml:space="preserve">  Registration Number Trade Registry: J12/1845/1998</w:t>
    </w:r>
  </w:p>
  <w:p w14:paraId="68DC676F" w14:textId="6D86894A" w:rsidR="00155274" w:rsidRPr="00155274" w:rsidRDefault="00155274" w:rsidP="00155274">
    <w:pPr>
      <w:pStyle w:val="Footer"/>
      <w:jc w:val="center"/>
      <w:rPr>
        <w:rFonts w:ascii="Lato" w:hAnsi="Lato" w:cs="Tahoma"/>
        <w:noProof/>
        <w:color w:val="595959"/>
        <w:sz w:val="16"/>
        <w:szCs w:val="16"/>
      </w:rPr>
    </w:pPr>
    <w:r>
      <w:rPr>
        <w:rFonts w:ascii="Lato" w:hAnsi="Lato" w:cs="Tahoma"/>
        <w:noProof/>
        <w:color w:val="595959"/>
        <w:sz w:val="16"/>
        <w:szCs w:val="16"/>
      </w:rPr>
      <w:t xml:space="preserve">E-mail: ir@arobs.com </w:t>
    </w:r>
    <w:r>
      <w:rPr>
        <w:rFonts w:ascii="Lato" w:hAnsi="Lato" w:cs="Times New Roman"/>
        <w:noProof/>
        <w:color w:val="595959"/>
        <w:sz w:val="16"/>
        <w:szCs w:val="16"/>
      </w:rPr>
      <w:t>●</w:t>
    </w:r>
    <w:r>
      <w:rPr>
        <w:rFonts w:ascii="Lato" w:hAnsi="Lato" w:cs="Tahoma"/>
        <w:noProof/>
        <w:color w:val="595959"/>
        <w:sz w:val="16"/>
        <w:szCs w:val="16"/>
      </w:rPr>
      <w:t xml:space="preserve">  www.arobs.com </w:t>
    </w:r>
  </w:p>
  <w:p w14:paraId="663B52A8" w14:textId="77777777" w:rsidR="0044114B" w:rsidRDefault="00441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5A6E" w14:textId="77777777" w:rsidR="00F36281" w:rsidRDefault="00F36281" w:rsidP="00F36281">
      <w:pPr>
        <w:spacing w:after="0" w:line="240" w:lineRule="auto"/>
      </w:pPr>
      <w:r>
        <w:separator/>
      </w:r>
    </w:p>
  </w:footnote>
  <w:footnote w:type="continuationSeparator" w:id="0">
    <w:p w14:paraId="59C947B1" w14:textId="77777777" w:rsidR="00F36281" w:rsidRDefault="00F36281" w:rsidP="00F3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2EB0" w14:textId="4715AAE8" w:rsidR="00F36281" w:rsidRDefault="00963AE5" w:rsidP="00963AE5">
    <w:pPr>
      <w:pStyle w:val="Header"/>
      <w:jc w:val="right"/>
    </w:pPr>
    <w:r>
      <w:rPr>
        <w:noProof/>
      </w:rPr>
      <w:drawing>
        <wp:inline distT="0" distB="0" distL="0" distR="0" wp14:anchorId="685D3EDC" wp14:editId="5C417582">
          <wp:extent cx="2317115" cy="614045"/>
          <wp:effectExtent l="0" t="0" r="6985" b="0"/>
          <wp:docPr id="1" name="Picture 1" descr="AROBS Transilvania Software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OBS Transilvania Software develop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11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8C1EF3" w14:textId="77777777" w:rsidR="00F36281" w:rsidRDefault="00F36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3992"/>
    <w:multiLevelType w:val="hybridMultilevel"/>
    <w:tmpl w:val="8D9039E0"/>
    <w:lvl w:ilvl="0" w:tplc="100E548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17A58"/>
    <w:multiLevelType w:val="hybridMultilevel"/>
    <w:tmpl w:val="39664BB8"/>
    <w:lvl w:ilvl="0" w:tplc="11F8C41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05223"/>
    <w:multiLevelType w:val="hybridMultilevel"/>
    <w:tmpl w:val="0F18810C"/>
    <w:lvl w:ilvl="0" w:tplc="FF3436FE">
      <w:start w:val="1"/>
      <w:numFmt w:val="decimal"/>
      <w:lvlText w:val="%1."/>
      <w:lvlJc w:val="left"/>
      <w:pPr>
        <w:ind w:left="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75D4DFF"/>
    <w:multiLevelType w:val="hybridMultilevel"/>
    <w:tmpl w:val="D652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7B"/>
    <w:rsid w:val="00155274"/>
    <w:rsid w:val="0021561A"/>
    <w:rsid w:val="003464E7"/>
    <w:rsid w:val="00371C8B"/>
    <w:rsid w:val="003B15AB"/>
    <w:rsid w:val="003F354B"/>
    <w:rsid w:val="00407001"/>
    <w:rsid w:val="0044114B"/>
    <w:rsid w:val="004C55AE"/>
    <w:rsid w:val="00501CE6"/>
    <w:rsid w:val="005112DC"/>
    <w:rsid w:val="00547A75"/>
    <w:rsid w:val="00572BE3"/>
    <w:rsid w:val="0059599E"/>
    <w:rsid w:val="005B18F4"/>
    <w:rsid w:val="005B3EED"/>
    <w:rsid w:val="006A097B"/>
    <w:rsid w:val="006A19DA"/>
    <w:rsid w:val="007219BC"/>
    <w:rsid w:val="00796DE1"/>
    <w:rsid w:val="00816EA5"/>
    <w:rsid w:val="008619A0"/>
    <w:rsid w:val="00865718"/>
    <w:rsid w:val="00917A70"/>
    <w:rsid w:val="009546B0"/>
    <w:rsid w:val="00963AE5"/>
    <w:rsid w:val="009E1E2D"/>
    <w:rsid w:val="00A11C26"/>
    <w:rsid w:val="00AC1494"/>
    <w:rsid w:val="00AC5747"/>
    <w:rsid w:val="00AE06C1"/>
    <w:rsid w:val="00C34035"/>
    <w:rsid w:val="00DB74AB"/>
    <w:rsid w:val="00E1056E"/>
    <w:rsid w:val="00F3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29E2"/>
  <w15:chartTrackingRefBased/>
  <w15:docId w15:val="{0AE8204B-29B7-48BC-A8A6-DAB1D238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9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6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281"/>
  </w:style>
  <w:style w:type="paragraph" w:styleId="Footer">
    <w:name w:val="footer"/>
    <w:basedOn w:val="Normal"/>
    <w:link w:val="FooterChar"/>
    <w:uiPriority w:val="99"/>
    <w:unhideWhenUsed/>
    <w:rsid w:val="00F36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5098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Marcu</dc:creator>
  <cp:keywords/>
  <dc:description/>
  <cp:lastModifiedBy>Gloria Haas</cp:lastModifiedBy>
  <cp:revision>2</cp:revision>
  <dcterms:created xsi:type="dcterms:W3CDTF">2022-02-04T10:59:00Z</dcterms:created>
  <dcterms:modified xsi:type="dcterms:W3CDTF">2022-02-04T10:59:00Z</dcterms:modified>
</cp:coreProperties>
</file>